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lineRule="auto" w:line="240" w:before="0" w:after="0"/>
        <w:jc w:val="center"/>
        <w:rPr>
          <w:rFonts w:ascii="Times New Roman" w:hAnsi="Times New Roman"/>
          <w:sz w:val="40"/>
          <w:szCs w:val="40"/>
        </w:rPr>
      </w:pPr>
      <w:r>
        <w:rPr>
          <w:rFonts w:ascii="Times New Roman" w:hAnsi="Times New Roman"/>
          <w:b/>
          <w:sz w:val="40"/>
          <w:szCs w:val="40"/>
        </w:rPr>
        <w:t>Les relations des élus locaux avec le préfet dans le cadre du</w:t>
      </w:r>
      <w:r>
        <w:rPr>
          <w:rFonts w:ascii="Times New Roman" w:hAnsi="Times New Roman"/>
          <w:b/>
          <w:sz w:val="40"/>
          <w:szCs w:val="40"/>
        </w:rPr>
        <w:t xml:space="preserve"> contrôle de légalité</w:t>
      </w:r>
    </w:p>
    <w:p>
      <w:pPr>
        <w:pStyle w:val="Corpsdetexte"/>
        <w:rPr>
          <w:rFonts w:ascii="Times New Roman" w:hAnsi="Times New Roman"/>
        </w:rPr>
      </w:pPr>
      <w:r>
        <w:rPr>
          <w:rFonts w:ascii="Times New Roman" w:hAnsi="Times New Roman"/>
        </w:rPr>
      </w:r>
    </w:p>
    <w:p>
      <w:pPr>
        <w:pStyle w:val="Corpsdetexte"/>
        <w:jc w:val="both"/>
        <w:rPr/>
      </w:pPr>
      <w:r>
        <w:rPr>
          <w:rFonts w:ascii="Times New Roman" w:hAnsi="Times New Roman"/>
          <w:b w:val="false"/>
          <w:bCs w:val="false"/>
        </w:rPr>
        <w:t>L’article 72 de la Constitution confie au représentant de l’État dans le département ou la région (Préfet ou Sous</w:t>
        <w:noBreakHyphen/>
        <w:t>Préfet) le contrôle de légalité des actes des collectivités territoriales (communes, départements, régions, établissements publics de coopération intercommunale, établissements publics locaux, etc.).</w:t>
      </w:r>
    </w:p>
    <w:p>
      <w:pPr>
        <w:pStyle w:val="Corpsdetexte"/>
        <w:rPr>
          <w:rFonts w:ascii="Times New Roman" w:hAnsi="Times New Roman"/>
          <w:b w:val="false"/>
          <w:b w:val="false"/>
          <w:bCs w:val="false"/>
        </w:rPr>
      </w:pPr>
      <w:r>
        <w:rPr>
          <w:rFonts w:ascii="Times New Roman" w:hAnsi="Times New Roman"/>
          <w:b w:val="false"/>
          <w:bCs w:val="false"/>
        </w:rPr>
        <w:t xml:space="preserve">Ce contrôle s’exerce sur les actes pris par les collectivités </w:t>
      </w:r>
      <w:r>
        <w:rPr>
          <w:rFonts w:ascii="Times New Roman" w:hAnsi="Times New Roman"/>
          <w:b w:val="false"/>
          <w:bCs w:val="false"/>
        </w:rPr>
        <w:t xml:space="preserve">et établissements </w:t>
      </w:r>
      <w:r>
        <w:rPr>
          <w:rFonts w:ascii="Times New Roman" w:hAnsi="Times New Roman"/>
          <w:b w:val="false"/>
          <w:bCs w:val="false"/>
        </w:rPr>
        <w:t>ayant acquis un caractère exécutoire.</w:t>
      </w:r>
    </w:p>
    <w:p>
      <w:pPr>
        <w:pStyle w:val="Corpsdetexte"/>
        <w:rPr>
          <w:rFonts w:ascii="Times New Roman" w:hAnsi="Times New Roman"/>
          <w:b w:val="false"/>
          <w:b w:val="false"/>
          <w:bCs w:val="false"/>
        </w:rPr>
      </w:pPr>
      <w:r>
        <w:rPr>
          <w:rFonts w:ascii="Times New Roman" w:hAnsi="Times New Roman"/>
          <w:b w:val="false"/>
          <w:bCs w:val="false"/>
        </w:rPr>
        <w:t>Cette propriété s’obtient dès lors que l’acte est transmis au représentant de l’État (et après exécution des formalités de publicité, d’affichage ou de notification).</w:t>
      </w:r>
    </w:p>
    <w:p>
      <w:pPr>
        <w:pStyle w:val="Corpsdetexte"/>
        <w:jc w:val="both"/>
        <w:rPr>
          <w:rFonts w:ascii="Times New Roman" w:hAnsi="Times New Roman"/>
          <w:b w:val="false"/>
          <w:b w:val="false"/>
          <w:bCs w:val="false"/>
        </w:rPr>
      </w:pPr>
      <w:r>
        <w:rPr>
          <w:rFonts w:ascii="Times New Roman" w:hAnsi="Times New Roman"/>
          <w:b w:val="false"/>
          <w:bCs w:val="false"/>
        </w:rPr>
        <w:t>La loi ne fixe pas de délai de transmission, mais les actes ne sont exécutoires qu’après transmission [sauf pour les conventions de délégation de service public et les marchés publics qui doivent être transmis au représentant de l’État dans les quinze jours à compter de leur signature (suivant les articles L. 1411-9 et L. 2131-13 du code général des collectivités territoriales - CGCT).</w:t>
      </w:r>
    </w:p>
    <w:p>
      <w:pPr>
        <w:pStyle w:val="Corpsdetexte"/>
        <w:jc w:val="both"/>
        <w:rPr>
          <w:rFonts w:ascii="Times New Roman" w:hAnsi="Times New Roman"/>
          <w:b w:val="false"/>
          <w:b w:val="false"/>
          <w:bCs w:val="false"/>
        </w:rPr>
      </w:pPr>
      <w:r>
        <w:rPr>
          <w:rFonts w:ascii="Times New Roman" w:hAnsi="Times New Roman"/>
          <w:b w:val="false"/>
          <w:bCs w:val="false"/>
        </w:rPr>
        <w:t xml:space="preserve">Aux termes de l’article L. 2131-1 du CGCT, la preuve de la réception des actes peut être apportée par tout moyen, mais dans la pratique, </w:t>
      </w:r>
      <w:r>
        <w:rPr>
          <w:rFonts w:ascii="Times New Roman" w:hAnsi="Times New Roman"/>
          <w:b w:val="false"/>
          <w:bCs w:val="false"/>
        </w:rPr>
        <w:t>et dans la grande majorité des cas, un accusé de réception est généré par la plate-formes ACTES par laquelle la transmission par voie dématérialisée est effectuée. Si les collectivités et établissements n’ont pas conventionné avec le préfet pour utiliser Actes, la transmission s’effectue par voie postal ou par dépôt, la collectivité recevant alors un exemplaire de l’acte estampillé d’un AR daté.</w:t>
      </w:r>
    </w:p>
    <w:p>
      <w:pPr>
        <w:pStyle w:val="Corpsdetexte"/>
        <w:jc w:val="both"/>
        <w:rPr>
          <w:rFonts w:ascii="Times New Roman" w:hAnsi="Times New Roman"/>
          <w:b w:val="false"/>
          <w:b w:val="false"/>
          <w:bCs w:val="false"/>
        </w:rPr>
      </w:pPr>
      <w:r>
        <w:rPr>
          <w:rFonts w:ascii="Times New Roman" w:hAnsi="Times New Roman"/>
          <w:b w:val="false"/>
          <w:bCs w:val="false"/>
        </w:rPr>
        <w:t>Tous les actes (délibérations, arrêtés, contrats, conventions, marchés, etc.) doivent être accompagnés des pièces permettant d’apprécier leur légalité.</w:t>
      </w:r>
    </w:p>
    <w:p>
      <w:pPr>
        <w:pStyle w:val="Corpsdetexte"/>
        <w:jc w:val="both"/>
        <w:rPr>
          <w:rFonts w:ascii="Times New Roman" w:hAnsi="Times New Roman"/>
          <w:b w:val="false"/>
          <w:b w:val="false"/>
          <w:bCs w:val="false"/>
        </w:rPr>
      </w:pPr>
      <w:r>
        <w:rPr>
          <w:rFonts w:ascii="Times New Roman" w:hAnsi="Times New Roman"/>
          <w:b w:val="false"/>
          <w:bCs w:val="false"/>
        </w:rPr>
        <w:t>Une fois transmis, les actes font l’objet d’un</w:t>
      </w:r>
      <w:r>
        <w:rPr>
          <w:rFonts w:ascii="Times New Roman" w:hAnsi="Times New Roman"/>
          <w:b w:val="false"/>
          <w:bCs w:val="false"/>
        </w:rPr>
        <w:t xml:space="preserve"> contrôle de légalité </w:t>
      </w:r>
      <w:r>
        <w:rPr>
          <w:rFonts w:ascii="Times New Roman" w:hAnsi="Times New Roman"/>
          <w:b w:val="false"/>
          <w:bCs w:val="false"/>
        </w:rPr>
        <w:t xml:space="preserve">qui consiste à </w:t>
      </w:r>
      <w:r>
        <w:rPr>
          <w:rFonts w:ascii="Times New Roman" w:hAnsi="Times New Roman"/>
          <w:b w:val="false"/>
          <w:bCs w:val="false"/>
        </w:rPr>
        <w:t>vérifie</w:t>
      </w:r>
      <w:r>
        <w:rPr>
          <w:rFonts w:ascii="Times New Roman" w:hAnsi="Times New Roman"/>
          <w:b w:val="false"/>
          <w:bCs w:val="false"/>
        </w:rPr>
        <w:t>r</w:t>
      </w:r>
      <w:r>
        <w:rPr>
          <w:rFonts w:ascii="Times New Roman" w:hAnsi="Times New Roman"/>
          <w:b w:val="false"/>
          <w:bCs w:val="false"/>
        </w:rPr>
        <w:t xml:space="preserve"> la conformité des actes pris par les collectivités territoriales et leurs établissements publics avec les dispositions législatives et réglementaires en vigueur </w:t>
      </w:r>
      <w:r>
        <w:rPr>
          <w:rFonts w:ascii="Times New Roman" w:hAnsi="Times New Roman"/>
          <w:b w:val="false"/>
          <w:bCs w:val="false"/>
        </w:rPr>
        <w:t>(compétence de l’auteur de l’acte, quorum, base légale…).</w:t>
      </w:r>
    </w:p>
    <w:p>
      <w:pPr>
        <w:pStyle w:val="Corpsdetexte"/>
        <w:jc w:val="both"/>
        <w:rPr>
          <w:rFonts w:ascii="Times New Roman" w:hAnsi="Times New Roman"/>
          <w:b w:val="false"/>
          <w:b w:val="false"/>
          <w:bCs w:val="false"/>
        </w:rPr>
      </w:pPr>
      <w:r>
        <w:rPr>
          <w:rFonts w:ascii="Times New Roman" w:hAnsi="Times New Roman"/>
          <w:b w:val="false"/>
          <w:bCs w:val="false"/>
        </w:rPr>
        <w:t xml:space="preserve">Si l’examen sur le fond et la forme conduit à relever des irrégularités, le préfet peut adresser à la collectivité, ou l’établissement public, un recours gracieux </w:t>
      </w:r>
      <w:r>
        <w:rPr>
          <w:rFonts w:ascii="Times New Roman" w:hAnsi="Times New Roman"/>
          <w:b w:val="false"/>
          <w:bCs w:val="false"/>
        </w:rPr>
        <w:t xml:space="preserve">ou lettre dite d’observations </w:t>
      </w:r>
      <w:r>
        <w:rPr>
          <w:rFonts w:ascii="Times New Roman" w:hAnsi="Times New Roman"/>
          <w:b w:val="false"/>
          <w:bCs w:val="false"/>
        </w:rPr>
        <w:t>dans un délai de deux mois à compter de la réception de l’acte, en préfecture ou en sous-préfecture, en précisant la ou les illégalités dont l’acte est entaché et en demandant sa modification ou son retrait.</w:t>
      </w:r>
    </w:p>
    <w:p>
      <w:pPr>
        <w:pStyle w:val="Corpsdetexte"/>
        <w:jc w:val="both"/>
        <w:rPr>
          <w:rFonts w:ascii="Times New Roman" w:hAnsi="Times New Roman"/>
          <w:b w:val="false"/>
          <w:b w:val="false"/>
          <w:bCs w:val="false"/>
        </w:rPr>
      </w:pPr>
      <w:r>
        <w:rPr>
          <w:rFonts w:ascii="Times New Roman" w:hAnsi="Times New Roman"/>
          <w:b w:val="false"/>
          <w:bCs w:val="false"/>
        </w:rPr>
        <w:t>Si la collectivité ne réserve pas une suite favorable au recours gracieux (refus ou rejet implicite), le préfet peut déférer au tribunal administratif l’acte qu’il estime illégal. Il dispose en la matière d’un pouvoir d’appréciation.</w:t>
      </w:r>
    </w:p>
    <w:p>
      <w:pPr>
        <w:pStyle w:val="Corpsdetexte"/>
        <w:jc w:val="both"/>
        <w:rPr>
          <w:rFonts w:ascii="Times New Roman" w:hAnsi="Times New Roman"/>
          <w:b w:val="false"/>
          <w:b w:val="false"/>
          <w:bCs w:val="false"/>
        </w:rPr>
      </w:pPr>
      <w:r>
        <w:rPr>
          <w:rFonts w:ascii="Times New Roman" w:hAnsi="Times New Roman"/>
          <w:b w:val="false"/>
          <w:bCs w:val="false"/>
        </w:rPr>
        <w:t>Dans d’autres cas, le préfet peut formuler une demande de pièces complémentaires afin qu’il puisse, à réception, exercer son contrôle en toute connaissance de cause.</w:t>
      </w:r>
    </w:p>
    <w:p>
      <w:pPr>
        <w:pStyle w:val="Corpsdetexte"/>
        <w:jc w:val="both"/>
        <w:rPr>
          <w:rFonts w:ascii="Times New Roman" w:hAnsi="Times New Roman"/>
          <w:b w:val="false"/>
          <w:b w:val="false"/>
          <w:bCs w:val="false"/>
        </w:rPr>
      </w:pPr>
      <w:r>
        <w:rPr>
          <w:rFonts w:ascii="Times New Roman" w:hAnsi="Times New Roman"/>
          <w:b w:val="false"/>
          <w:bCs w:val="false"/>
        </w:rPr>
        <w:t xml:space="preserve">Enfin, en fonction du contexte ou de la faiblesse du </w:t>
      </w:r>
      <w:r>
        <w:rPr>
          <w:rFonts w:ascii="Times New Roman" w:hAnsi="Times New Roman"/>
          <w:b w:val="false"/>
          <w:bCs w:val="false"/>
        </w:rPr>
        <w:t>niveau</w:t>
      </w:r>
      <w:r>
        <w:rPr>
          <w:rFonts w:ascii="Times New Roman" w:hAnsi="Times New Roman"/>
          <w:b w:val="false"/>
          <w:bCs w:val="false"/>
        </w:rPr>
        <w:t xml:space="preserve"> </w:t>
      </w:r>
      <w:r>
        <w:rPr>
          <w:rFonts w:ascii="Times New Roman" w:hAnsi="Times New Roman"/>
          <w:b w:val="false"/>
          <w:bCs w:val="false"/>
        </w:rPr>
        <w:t>d’irrégularité</w:t>
      </w:r>
      <w:r>
        <w:rPr>
          <w:rFonts w:ascii="Times New Roman" w:hAnsi="Times New Roman"/>
          <w:b w:val="false"/>
          <w:bCs w:val="false"/>
        </w:rPr>
        <w:t xml:space="preserve"> constaté, le </w:t>
      </w:r>
      <w:r>
        <w:rPr>
          <w:rFonts w:ascii="Times New Roman" w:hAnsi="Times New Roman"/>
          <w:b w:val="false"/>
          <w:bCs w:val="false"/>
        </w:rPr>
        <w:t>préfet</w:t>
      </w:r>
      <w:r>
        <w:rPr>
          <w:rFonts w:ascii="Times New Roman" w:hAnsi="Times New Roman"/>
          <w:b w:val="false"/>
          <w:bCs w:val="false"/>
        </w:rPr>
        <w:t xml:space="preserve"> peut également </w:t>
      </w:r>
      <w:r>
        <w:rPr>
          <w:rFonts w:ascii="Times New Roman" w:hAnsi="Times New Roman"/>
          <w:b w:val="false"/>
          <w:bCs w:val="false"/>
        </w:rPr>
        <w:t>adresser</w:t>
      </w:r>
      <w:r>
        <w:rPr>
          <w:rFonts w:ascii="Times New Roman" w:hAnsi="Times New Roman"/>
          <w:b w:val="false"/>
          <w:bCs w:val="false"/>
        </w:rPr>
        <w:t xml:space="preserve"> une lettre dite pédagogique où ce dernier rappelle la règle de droit qu’il conviendra de suivre à l’avenir. </w:t>
      </w:r>
    </w:p>
    <w:p>
      <w:pPr>
        <w:pStyle w:val="Corpsdetexte"/>
        <w:rPr>
          <w:rFonts w:ascii="Times New Roman" w:hAnsi="Times New Roman"/>
          <w:b w:val="false"/>
          <w:b w:val="false"/>
          <w:bCs w:val="false"/>
        </w:rPr>
      </w:pPr>
      <w:r>
        <w:rPr>
          <w:rFonts w:ascii="Times New Roman" w:hAnsi="Times New Roman"/>
          <w:b w:val="false"/>
          <w:bCs w:val="false"/>
        </w:rPr>
        <w:t>E</w:t>
      </w:r>
      <w:r>
        <w:rPr>
          <w:rFonts w:ascii="Times New Roman" w:hAnsi="Times New Roman"/>
          <w:b w:val="false"/>
          <w:bCs w:val="false"/>
        </w:rPr>
        <w:t xml:space="preserve">n ce qui concerne les actes pris par les autorités communales, </w:t>
      </w:r>
      <w:r>
        <w:rPr>
          <w:rFonts w:ascii="Times New Roman" w:hAnsi="Times New Roman"/>
          <w:b w:val="false"/>
          <w:bCs w:val="false"/>
        </w:rPr>
        <w:t>la liste des actes</w:t>
      </w:r>
      <w:r>
        <w:rPr>
          <w:rFonts w:ascii="Times New Roman" w:hAnsi="Times New Roman"/>
          <w:b w:val="false"/>
          <w:bCs w:val="false"/>
        </w:rPr>
        <w:t xml:space="preserve"> soumis </w:t>
      </w:r>
      <w:r>
        <w:rPr>
          <w:rFonts w:ascii="Times New Roman" w:hAnsi="Times New Roman"/>
          <w:b w:val="false"/>
          <w:bCs w:val="false"/>
        </w:rPr>
        <w:t>à l’obligation de transmission définie par l’article L. 2131-2 du CGCT figure sur…..</w:t>
      </w:r>
    </w:p>
    <w:p>
      <w:pPr>
        <w:pStyle w:val="Corpsdetexte"/>
        <w:spacing w:before="0" w:after="140"/>
        <w:rPr>
          <w:rFonts w:ascii="Times New Roman" w:hAnsi="Times New Roman"/>
          <w:b w:val="false"/>
          <w:b w:val="false"/>
          <w:bCs w:val="false"/>
        </w:rPr>
      </w:pPr>
      <w:r>
        <w:rPr>
          <w:rFonts w:ascii="Times New Roman" w:hAnsi="Times New Roman"/>
          <w:b w:val="false"/>
          <w:bCs w:val="false"/>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Titre"/>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498</Words>
  <Characters>2775</Characters>
  <CharactersWithSpaces>3261</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2020-06-19T15:36:25Z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